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981976" w:rsidRDefault="001165CC" w:rsidP="00AE4748">
      <w:pPr>
        <w:ind w:firstLine="5670"/>
        <w:rPr>
          <w:lang w:val="uk-UA"/>
        </w:rPr>
      </w:pPr>
      <w:r w:rsidRPr="00981976">
        <w:rPr>
          <w:lang w:val="uk-UA"/>
        </w:rPr>
        <w:t>ЗАТВЕРДЖЕНО</w:t>
      </w:r>
    </w:p>
    <w:p w:rsidR="001165CC" w:rsidRPr="00981976" w:rsidRDefault="001165CC" w:rsidP="00AE4748">
      <w:pPr>
        <w:ind w:firstLine="5670"/>
        <w:rPr>
          <w:lang w:val="uk-UA"/>
        </w:rPr>
      </w:pPr>
      <w:r w:rsidRPr="00981976">
        <w:rPr>
          <w:lang w:val="uk-UA"/>
        </w:rPr>
        <w:t>Наказ Головного управління</w:t>
      </w:r>
    </w:p>
    <w:p w:rsidR="001165CC" w:rsidRPr="00981976" w:rsidRDefault="001165CC" w:rsidP="00AE4748">
      <w:pPr>
        <w:ind w:firstLine="5670"/>
        <w:rPr>
          <w:lang w:val="uk-UA"/>
        </w:rPr>
      </w:pPr>
      <w:r w:rsidRPr="00981976">
        <w:rPr>
          <w:lang w:val="uk-UA"/>
        </w:rPr>
        <w:t>Держпродспоживслужби</w:t>
      </w:r>
    </w:p>
    <w:p w:rsidR="001165CC" w:rsidRPr="00981976" w:rsidRDefault="001165CC" w:rsidP="00AE4748">
      <w:pPr>
        <w:ind w:firstLine="5670"/>
        <w:rPr>
          <w:lang w:val="uk-UA"/>
        </w:rPr>
      </w:pPr>
      <w:bookmarkStart w:id="0" w:name="_GoBack"/>
      <w:bookmarkEnd w:id="0"/>
      <w:r w:rsidRPr="00981976">
        <w:rPr>
          <w:lang w:val="uk-UA"/>
        </w:rPr>
        <w:t xml:space="preserve">у Волинській області </w:t>
      </w:r>
    </w:p>
    <w:p w:rsidR="001165CC" w:rsidRPr="00981976" w:rsidRDefault="001165CC" w:rsidP="00AE4748">
      <w:pPr>
        <w:ind w:firstLine="5670"/>
        <w:rPr>
          <w:lang w:val="uk-UA"/>
        </w:rPr>
      </w:pPr>
      <w:r w:rsidRPr="00981976">
        <w:rPr>
          <w:lang w:val="uk-UA"/>
        </w:rPr>
        <w:t>від</w:t>
      </w:r>
      <w:r w:rsidR="00806634" w:rsidRPr="00981976">
        <w:rPr>
          <w:lang w:val="uk-UA"/>
        </w:rPr>
        <w:t xml:space="preserve"> </w:t>
      </w:r>
      <w:r w:rsidR="000B4CCB" w:rsidRPr="00981976">
        <w:rPr>
          <w:lang w:val="uk-UA"/>
        </w:rPr>
        <w:t>1</w:t>
      </w:r>
      <w:r w:rsidR="00DF710A">
        <w:rPr>
          <w:lang w:val="uk-UA"/>
        </w:rPr>
        <w:t>9</w:t>
      </w:r>
      <w:r w:rsidR="00AC6F1B" w:rsidRPr="00981976">
        <w:rPr>
          <w:lang w:val="uk-UA"/>
        </w:rPr>
        <w:t xml:space="preserve"> </w:t>
      </w:r>
      <w:r w:rsidR="000B4CCB" w:rsidRPr="00981976">
        <w:rPr>
          <w:lang w:val="uk-UA"/>
        </w:rPr>
        <w:t>березня 2021</w:t>
      </w:r>
      <w:r w:rsidRPr="00981976">
        <w:rPr>
          <w:lang w:val="uk-UA"/>
        </w:rPr>
        <w:t xml:space="preserve"> року №</w:t>
      </w:r>
      <w:r w:rsidR="00AE4748">
        <w:rPr>
          <w:lang w:val="uk-UA"/>
        </w:rPr>
        <w:t xml:space="preserve"> 138 </w:t>
      </w:r>
      <w:r w:rsidR="002E5D44" w:rsidRPr="00981976">
        <w:rPr>
          <w:lang w:val="uk-UA"/>
        </w:rPr>
        <w:t>–</w:t>
      </w:r>
      <w:r w:rsidR="00AE4748">
        <w:rPr>
          <w:lang w:val="uk-UA"/>
        </w:rPr>
        <w:t xml:space="preserve"> </w:t>
      </w:r>
      <w:r w:rsidR="002E5D44" w:rsidRPr="00981976">
        <w:rPr>
          <w:lang w:val="uk-UA"/>
        </w:rPr>
        <w:t>о</w:t>
      </w:r>
      <w:r w:rsidRPr="00981976">
        <w:rPr>
          <w:lang w:val="uk-UA"/>
        </w:rPr>
        <w:t>д</w:t>
      </w:r>
      <w:r w:rsidR="00BB4D7D" w:rsidRPr="00981976">
        <w:rPr>
          <w:lang w:val="uk-UA"/>
        </w:rPr>
        <w:t xml:space="preserve"> </w:t>
      </w:r>
    </w:p>
    <w:p w:rsidR="00094DCC" w:rsidRPr="00981976" w:rsidRDefault="00094DCC" w:rsidP="00E7199B">
      <w:pPr>
        <w:jc w:val="center"/>
        <w:rPr>
          <w:b/>
          <w:lang w:val="uk-UA"/>
        </w:rPr>
      </w:pPr>
    </w:p>
    <w:p w:rsidR="00E7199B" w:rsidRPr="00076592" w:rsidRDefault="00E7199B" w:rsidP="00E7199B">
      <w:pPr>
        <w:jc w:val="center"/>
        <w:rPr>
          <w:b/>
          <w:lang w:val="uk-UA"/>
        </w:rPr>
      </w:pPr>
      <w:r w:rsidRPr="00076592">
        <w:rPr>
          <w:b/>
          <w:lang w:val="uk-UA"/>
        </w:rPr>
        <w:t>УМОВИ</w:t>
      </w:r>
    </w:p>
    <w:p w:rsidR="00E7199B" w:rsidRPr="00076592" w:rsidRDefault="00E7199B" w:rsidP="00E7199B">
      <w:pPr>
        <w:jc w:val="center"/>
        <w:rPr>
          <w:b/>
          <w:lang w:val="uk-UA"/>
        </w:rPr>
      </w:pPr>
      <w:r w:rsidRPr="00076592">
        <w:rPr>
          <w:b/>
          <w:lang w:val="uk-UA"/>
        </w:rPr>
        <w:t>проведення конкурсу</w:t>
      </w:r>
    </w:p>
    <w:p w:rsidR="00E7199B" w:rsidRPr="00076592" w:rsidRDefault="00E7199B" w:rsidP="00505310">
      <w:pPr>
        <w:jc w:val="center"/>
        <w:rPr>
          <w:b/>
          <w:lang w:val="uk-UA"/>
        </w:rPr>
      </w:pPr>
      <w:r w:rsidRPr="00076592">
        <w:rPr>
          <w:b/>
          <w:lang w:val="uk-UA"/>
        </w:rPr>
        <w:t>на зайняття посади державної служби категорії «</w:t>
      </w:r>
      <w:r w:rsidR="008F195E" w:rsidRPr="00076592">
        <w:rPr>
          <w:b/>
          <w:lang w:val="uk-UA"/>
        </w:rPr>
        <w:t>В</w:t>
      </w:r>
      <w:r w:rsidRPr="00076592">
        <w:rPr>
          <w:b/>
          <w:lang w:val="uk-UA"/>
        </w:rPr>
        <w:t>» –</w:t>
      </w:r>
    </w:p>
    <w:p w:rsidR="00DF710A" w:rsidRPr="008C0517" w:rsidRDefault="00DF710A" w:rsidP="00DF710A">
      <w:pPr>
        <w:jc w:val="center"/>
        <w:rPr>
          <w:b/>
          <w:lang w:val="uk-UA"/>
        </w:rPr>
      </w:pPr>
      <w:r w:rsidRPr="00645C35">
        <w:rPr>
          <w:b/>
          <w:lang w:val="uk-UA"/>
        </w:rPr>
        <w:t>головного спеціаліста відділу контролю у сферах захисту споживачів, реклами, антитютюнового законодавства управління захисту споживачів</w:t>
      </w:r>
      <w:r>
        <w:rPr>
          <w:b/>
          <w:lang w:val="uk-UA"/>
        </w:rPr>
        <w:t xml:space="preserve"> </w:t>
      </w:r>
      <w:r w:rsidRPr="008C0517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8C0358" w:rsidRDefault="00157BE1" w:rsidP="00E7199B">
      <w:pPr>
        <w:ind w:firstLine="720"/>
        <w:jc w:val="both"/>
        <w:rPr>
          <w:b/>
          <w:sz w:val="18"/>
          <w:lang w:val="uk-UA"/>
        </w:rPr>
      </w:pPr>
      <w:r w:rsidRPr="008C0358">
        <w:rPr>
          <w:b/>
          <w:sz w:val="18"/>
          <w:lang w:val="uk-UA"/>
        </w:rPr>
        <w:t xml:space="preserve">                                                      </w:t>
      </w:r>
      <w:r w:rsidR="00E7199B" w:rsidRPr="008C0358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076592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DF710A" w:rsidRPr="000B4CCB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DF710A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7F0B1F">
              <w:rPr>
                <w:lang w:val="uk-UA"/>
              </w:rPr>
              <w:t>Реалізує державну політику у сфері державного контролю за</w:t>
            </w:r>
            <w:r>
              <w:rPr>
                <w:lang w:val="uk-UA"/>
              </w:rPr>
              <w:t xml:space="preserve"> </w:t>
            </w:r>
            <w:r w:rsidRPr="007F0B1F">
              <w:rPr>
                <w:lang w:val="uk-UA"/>
              </w:rPr>
              <w:t>додержанням законодавства про захист прав споживачів,</w:t>
            </w:r>
            <w:r>
              <w:rPr>
                <w:lang w:val="uk-UA"/>
              </w:rPr>
              <w:t xml:space="preserve"> </w:t>
            </w:r>
            <w:r w:rsidRPr="00AC496F">
              <w:rPr>
                <w:color w:val="000000"/>
                <w:lang w:val="uk-UA"/>
              </w:rPr>
              <w:t>реклами, антитютюнового законодавства</w:t>
            </w:r>
            <w:r>
              <w:rPr>
                <w:color w:val="000000"/>
                <w:lang w:val="uk-UA"/>
              </w:rPr>
              <w:t>.</w:t>
            </w:r>
          </w:p>
          <w:p w:rsidR="00DF710A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7F0B1F">
              <w:rPr>
                <w:lang w:val="uk-UA"/>
              </w:rPr>
              <w:t>Своєчасно і якісно виконує планові завдання, узагальнює матеріали перевірок, готує інформації, звіти, доповідні записки</w:t>
            </w:r>
            <w:r>
              <w:rPr>
                <w:lang w:val="uk-UA"/>
              </w:rPr>
              <w:t>, ф</w:t>
            </w:r>
            <w:r w:rsidRPr="00645C35">
              <w:rPr>
                <w:lang w:val="uk-UA"/>
              </w:rPr>
              <w:t>ормує єдині справи розпорядчих документів у паперовій формі, що приймаються під час здійснення кожного окремого заходу</w:t>
            </w:r>
            <w:r w:rsidRPr="007F0B1F">
              <w:rPr>
                <w:lang w:val="uk-UA"/>
              </w:rPr>
              <w:t>.</w:t>
            </w:r>
          </w:p>
          <w:p w:rsidR="00DF710A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7F0B1F">
              <w:rPr>
                <w:lang w:val="uk-UA"/>
              </w:rPr>
              <w:t>Здійснює своєчасний та якісний розгляд звернень громадян, об’єднань громадян, підприємств, установ, організацій усіх форм власності, органів місцевого самоврядування з підготовкою пакету документів до Держпродспоживслужби України, з питань, що належать до компетенції відділу, та підготовкою відповідних проектів наказів та направлень для проведення позапланових заходів.</w:t>
            </w:r>
          </w:p>
          <w:p w:rsidR="00DF710A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E01B99">
              <w:rPr>
                <w:lang w:val="uk-UA"/>
              </w:rPr>
              <w:t>Перевіряє додержання суб’єктами господарювання, що провадять діяльність у сфері торгівлі і послуг, вимог нормативно-правових актів щодо безпеки продукції, а також правил торгівлі та надання послуг.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Здійснює підготовку (надсилання) рекламодавцям, виробникам та розповсюджувачам реклами, обов’язкові для виконанн</w:t>
            </w:r>
            <w:r>
              <w:rPr>
                <w:lang w:val="uk-UA"/>
              </w:rPr>
              <w:t xml:space="preserve">я приписи про усунення порушень та </w:t>
            </w:r>
            <w:r w:rsidRPr="000A4408">
              <w:rPr>
                <w:lang w:val="uk-UA"/>
              </w:rPr>
              <w:t xml:space="preserve">підготовку матеріалів про заборону суб’єктам господарювання реалізації неправильно маркованих харчових продуктів або </w:t>
            </w:r>
            <w:r>
              <w:rPr>
                <w:lang w:val="uk-UA"/>
              </w:rPr>
              <w:t>непридатних харчових продуктів.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Здійснює підготовку рішення про визнання реклами недобросовісною, прихованою, про визнання порівняння в рекламі неправомірним з одночасним зупиненням її розповсюдження.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Здійснює підготовку матеріалів про накладення фінансових санкцій до суб'єктів господарювання за порушення норм законодавства про заходи щодо  попередження та зменшення вживання тютюнових  виробів і їх  шкідливого  впливу на здоров'я населення.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Здійснює підготовку рішення про: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- припинення суб'єктами господарювання сфери торгівлі і послуг реалізації та виробництва продукції, що не відповідає вимогам нормативно-правових актів стосовно безпеки для життя, здоров’я та майна споживачів і навколишнього природного середовища, - до усунення виявлених недоліків;</w:t>
            </w:r>
          </w:p>
          <w:p w:rsidR="00DF710A" w:rsidRPr="000A4408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lastRenderedPageBreak/>
              <w:t>- тимчасове припинення діяльності суб'єктів господарювання сфери торгівлі (секцій, відділів), послуг складів підприємств оптової і роздрібної торгівлі та організацій незалежно від форми власності, що систематично реалізують товари неналежної якості, порушують правила торгівлі та надання послуг, умови зберігання та транспортування товарів, - до усунення виявлених недоліків;</w:t>
            </w:r>
          </w:p>
          <w:p w:rsidR="00DF710A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0A4408">
              <w:rPr>
                <w:lang w:val="uk-UA"/>
              </w:rPr>
              <w:t>- опломбовування у порядку, передбаченому законодавством, виробничих, складських, торговельних та інших приміщень суб'єктів господарювання сфери торгівлі і послуг, у тому числі ресторанного господарства, а також несправні, з неправильними показаннями, з пошкодженим повірочним тавром або без нього, чи з таким, строк дії якого закінчився, засоби вимірювальної техніки, за допомогою яких здійснюється обслуговування споживачів, з подальшим повідомленням про це центрального органу виконавчої влади, що реалізує державну політику.</w:t>
            </w:r>
          </w:p>
          <w:p w:rsidR="00DF710A" w:rsidRPr="0043027B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43027B">
              <w:rPr>
                <w:color w:val="000000"/>
                <w:lang w:val="uk-UA"/>
              </w:rPr>
              <w:t xml:space="preserve">Відбирає у суб'єктів господарювання сфери торгівлі і послуг зразки товарів, сировини, матеріалів, напівфабрикатів, комплектуючих виробів для перевірки їх якості на місці або проведення незалежної експертизи у відповідних лабораторіях та інших установах, акредитованих на право проведення таких робіт згідно із законодавством, з оплатою вартості зразків і проведених досліджень (експертизи) за рахунок коштів державного бюджету. </w:t>
            </w:r>
          </w:p>
          <w:p w:rsidR="00DF710A" w:rsidRPr="008C0517" w:rsidRDefault="00DF710A" w:rsidP="00DF710A">
            <w:pPr>
              <w:ind w:firstLine="198"/>
              <w:jc w:val="both"/>
              <w:rPr>
                <w:lang w:val="uk-UA"/>
              </w:rPr>
            </w:pPr>
            <w:r w:rsidRPr="00645C35">
              <w:rPr>
                <w:lang w:val="uk-UA"/>
              </w:rPr>
              <w:t>Оформляє результати перевірок актом встановленої форми з необхідними додатками, поясненнями та письмовими пропози</w:t>
            </w:r>
            <w:r>
              <w:rPr>
                <w:lang w:val="uk-UA"/>
              </w:rPr>
              <w:t>ціями та с</w:t>
            </w:r>
            <w:r w:rsidRPr="00645C35">
              <w:rPr>
                <w:lang w:val="uk-UA"/>
              </w:rPr>
              <w:t>кладає протоколи про адміністративні правопорушення відповідно до вимог Кодексу України про адміністративні правопорушення, здійснює підготовку проектів постанов та здійснює контроль за виконанням винесених постанов протягом 15 днів з часу їх винесення.</w:t>
            </w:r>
          </w:p>
        </w:tc>
      </w:tr>
      <w:tr w:rsidR="00DF710A" w:rsidRPr="008C0358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Посадовий оклад – 5500 грн., надбавки, доплати, премії відповідно до статті 52 Закону України «Про державну службу»</w:t>
            </w:r>
          </w:p>
        </w:tc>
      </w:tr>
      <w:tr w:rsidR="00DF710A" w:rsidRPr="008C0358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DF710A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076592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076592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076592">
                <w:rPr>
                  <w:lang w:val="uk-UA" w:eastAsia="en-US"/>
                </w:rPr>
                <w:t>додатком 2</w:t>
              </w:r>
            </w:hyperlink>
            <w:r w:rsidRPr="00076592">
              <w:rPr>
                <w:rFonts w:eastAsiaTheme="minorEastAsia"/>
                <w:lang w:val="uk-UA"/>
              </w:rPr>
              <w:t xml:space="preserve"> П</w:t>
            </w:r>
            <w:r w:rsidRPr="00076592">
              <w:rPr>
                <w:lang w:val="uk-UA" w:eastAsia="en-US"/>
              </w:rPr>
              <w:t>орядку проведення конкурсу на зайняття посад державної служби (далі – Порядок);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076592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076592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076592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076592">
              <w:rPr>
                <w:rFonts w:eastAsiaTheme="minorEastAsia"/>
                <w:lang w:val="uk-UA"/>
              </w:rPr>
              <w:t xml:space="preserve"> </w:t>
            </w:r>
            <w:r w:rsidRPr="00076592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076592">
              <w:rPr>
                <w:lang w:val="uk-UA" w:eastAsia="en-US"/>
              </w:rPr>
              <w:t>- прізвище, ім’я, по батькові кандидата;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076592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076592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076592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076592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076592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076592">
                <w:rPr>
                  <w:lang w:val="uk-UA" w:eastAsia="en-US"/>
                </w:rPr>
                <w:t>третьою</w:t>
              </w:r>
            </w:hyperlink>
            <w:r w:rsidRPr="00076592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076592">
                <w:rPr>
                  <w:lang w:val="uk-UA" w:eastAsia="en-US"/>
                </w:rPr>
                <w:t>четвертою</w:t>
              </w:r>
            </w:hyperlink>
            <w:r w:rsidRPr="00076592">
              <w:rPr>
                <w:lang w:val="uk-UA" w:eastAsia="en-US"/>
              </w:rPr>
              <w:t xml:space="preserve"> статті 1 </w:t>
            </w:r>
            <w:r w:rsidRPr="00076592">
              <w:rPr>
                <w:lang w:val="uk-UA" w:eastAsia="en-US"/>
              </w:rPr>
              <w:lastRenderedPageBreak/>
              <w:t>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076592">
              <w:rPr>
                <w:lang w:val="uk-UA" w:eastAsia="en-US"/>
              </w:rPr>
              <w:t>Подача додатків до заяви не є обов’язковою.</w:t>
            </w:r>
          </w:p>
          <w:p w:rsidR="00DF710A" w:rsidRPr="00076592" w:rsidRDefault="00DF710A" w:rsidP="00DF710A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DF710A" w:rsidRPr="00076592" w:rsidRDefault="00DF710A" w:rsidP="00DF710A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076592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F710A" w:rsidRPr="00076592" w:rsidRDefault="00DF710A" w:rsidP="00DF710A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076592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10A" w:rsidRPr="003407AD" w:rsidRDefault="00DF710A" w:rsidP="00DF710A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340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березня                         2021 року.</w:t>
            </w:r>
          </w:p>
        </w:tc>
      </w:tr>
      <w:tr w:rsidR="00DF710A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lastRenderedPageBreak/>
              <w:t>Додаткові (необов’язкові) документи</w:t>
            </w:r>
          </w:p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F710A" w:rsidRPr="00076592" w:rsidRDefault="00DF710A" w:rsidP="00DF710A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076592">
              <w:rPr>
                <w:color w:val="000000"/>
                <w:lang w:val="uk-UA"/>
              </w:rPr>
              <w:t xml:space="preserve">  </w:t>
            </w:r>
            <w:r w:rsidRPr="00076592">
              <w:rPr>
                <w:color w:val="000000"/>
                <w:lang w:val="ru-RU"/>
              </w:rPr>
              <w:t xml:space="preserve">2) </w:t>
            </w:r>
            <w:r w:rsidRPr="00076592">
              <w:rPr>
                <w:color w:val="00000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DF710A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 xml:space="preserve">Дата і час початку проведення тестування кандидатів. </w:t>
            </w:r>
          </w:p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 xml:space="preserve">Місце або спосіб проведення тестування. </w:t>
            </w:r>
          </w:p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квітня </w:t>
            </w:r>
            <w:r w:rsidRPr="00076592">
              <w:rPr>
                <w:rFonts w:ascii="Times New Roman" w:hAnsi="Times New Roman"/>
                <w:sz w:val="24"/>
                <w:szCs w:val="24"/>
              </w:rPr>
              <w:t>2021 року, початок о 10 год. 00 хв.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тестування за фізичної присутності кандидатів) 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співбесіди</w:t>
            </w:r>
            <w:r w:rsidRPr="00076592">
              <w:rPr>
                <w:rFonts w:ascii="Times New Roman" w:hAnsi="Times New Roman"/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DF710A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rPr>
                <w:b/>
                <w:color w:val="000000"/>
                <w:lang w:val="uk-UA"/>
              </w:rPr>
            </w:pPr>
            <w:r w:rsidRPr="00076592">
              <w:rPr>
                <w:b/>
                <w:color w:val="000000"/>
                <w:lang w:val="uk-UA"/>
              </w:rPr>
              <w:t>Прізвище, ім</w:t>
            </w:r>
            <w:r w:rsidRPr="00076592">
              <w:rPr>
                <w:b/>
                <w:lang w:val="uk-UA"/>
              </w:rPr>
              <w:t>’</w:t>
            </w:r>
            <w:r w:rsidRPr="00076592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76592">
              <w:rPr>
                <w:lang w:val="uk-UA"/>
              </w:rPr>
              <w:t>Павлюк Анна Дмитрівна</w:t>
            </w:r>
          </w:p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76592">
              <w:rPr>
                <w:lang w:val="uk-UA"/>
              </w:rPr>
              <w:t>тел. (0332) 729 381</w:t>
            </w:r>
          </w:p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76592">
              <w:rPr>
                <w:color w:val="000000"/>
                <w:lang w:val="uk-UA"/>
              </w:rPr>
              <w:t>HR@voldpss.gov.ua</w:t>
            </w:r>
          </w:p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DF710A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F710A" w:rsidRPr="008C0358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Вища освіта за освітнім ступенем не нижче молодшого бакалавра, бакалавра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Не потребує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076592">
              <w:rPr>
                <w:rStyle w:val="rvts0"/>
                <w:lang w:val="uk-UA"/>
              </w:rPr>
              <w:t>Вільне володіння державною мовою</w:t>
            </w:r>
          </w:p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F710A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ab/>
            </w:r>
            <w:r w:rsidRPr="00076592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F710A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F710A" w:rsidRPr="00AE474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076592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комплексний підхід до виконання завдань, виявлення ризиків; </w:t>
            </w:r>
          </w:p>
          <w:p w:rsidR="00DF710A" w:rsidRPr="00076592" w:rsidRDefault="00DF710A" w:rsidP="00DF710A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076592">
              <w:rPr>
                <w:lang w:val="uk-UA"/>
              </w:rPr>
              <w:t>- розуміння змісту завдання і його кінцевих результатів, самостійне визнач</w:t>
            </w:r>
            <w:r w:rsidR="00237DAE">
              <w:rPr>
                <w:lang w:val="uk-UA"/>
              </w:rPr>
              <w:t>ення можливих шляхів досягнення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076592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усвідомлення важливості якісного виконання своїх посадових </w:t>
            </w:r>
            <w:r w:rsidRPr="00076592">
              <w:rPr>
                <w:lang w:val="uk-UA"/>
              </w:rPr>
              <w:lastRenderedPageBreak/>
              <w:t xml:space="preserve">обов'язків з дотриманням строків та встановлених процедур; </w:t>
            </w:r>
          </w:p>
          <w:p w:rsidR="00DF710A" w:rsidRPr="00076592" w:rsidRDefault="00DF710A" w:rsidP="00DF710A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F710A" w:rsidRPr="00076592" w:rsidRDefault="00DF710A" w:rsidP="00DF710A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076592">
              <w:rPr>
                <w:lang w:val="uk-UA"/>
              </w:rPr>
              <w:t>- здатність брати на себе зобов’язання, чітк</w:t>
            </w:r>
            <w:r w:rsidR="00237DAE">
              <w:rPr>
                <w:lang w:val="uk-UA"/>
              </w:rPr>
              <w:t>о їх дотримуватись і виконувати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076592">
              <w:rPr>
                <w:rStyle w:val="rvts0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DF710A" w:rsidRPr="00076592" w:rsidRDefault="00DF710A" w:rsidP="00DF710A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DF710A" w:rsidRPr="00076592" w:rsidRDefault="00DF710A" w:rsidP="00DF710A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вміння публічно виступати перед аудиторією; </w:t>
            </w:r>
          </w:p>
          <w:p w:rsidR="00DF710A" w:rsidRPr="00076592" w:rsidRDefault="00DF710A" w:rsidP="00DF710A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- здатність переконувати інших за допомогою аргуме</w:t>
            </w:r>
            <w:r w:rsidR="00237DAE">
              <w:rPr>
                <w:lang w:val="uk-UA"/>
              </w:rPr>
              <w:t>нтів та послідовної комунікації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DF710A" w:rsidRPr="00076592" w:rsidRDefault="00DF710A" w:rsidP="00DF710A">
            <w:pPr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DF710A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F710A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92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F710A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DF710A" w:rsidRPr="00076592" w:rsidRDefault="00DF710A" w:rsidP="004B2336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- Закону Укр</w:t>
            </w:r>
            <w:r>
              <w:rPr>
                <w:rFonts w:ascii="Times New Roman" w:hAnsi="Times New Roman"/>
                <w:sz w:val="24"/>
                <w:szCs w:val="24"/>
              </w:rPr>
              <w:t>аїни «Про запобігання корупції»</w:t>
            </w:r>
          </w:p>
        </w:tc>
      </w:tr>
      <w:tr w:rsidR="00DF710A" w:rsidRPr="000B4CCB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592">
              <w:rPr>
                <w:rFonts w:ascii="Times New Roman" w:hAnsi="Times New Roman"/>
                <w:sz w:val="24"/>
                <w:szCs w:val="24"/>
                <w:lang w:val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A" w:rsidRPr="00076592" w:rsidRDefault="00DF710A" w:rsidP="00DF710A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076592">
              <w:rPr>
                <w:lang w:val="uk-UA"/>
              </w:rPr>
              <w:t>Знання:</w:t>
            </w:r>
          </w:p>
          <w:p w:rsidR="00DF710A" w:rsidRPr="00DF710A" w:rsidRDefault="00DF710A" w:rsidP="0062686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F710A">
              <w:rPr>
                <w:lang w:val="uk-UA"/>
              </w:rPr>
              <w:t xml:space="preserve">- Закону України «Про основні засади державного нагляду (контролю) у сфері господарської діяльності»; </w:t>
            </w:r>
          </w:p>
          <w:p w:rsidR="00DF710A" w:rsidRPr="00DF710A" w:rsidRDefault="00DF710A" w:rsidP="0062686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F710A">
              <w:rPr>
                <w:lang w:val="uk-UA"/>
              </w:rPr>
              <w:t>- Закону України «Про рекламу»;</w:t>
            </w:r>
          </w:p>
          <w:p w:rsidR="00DF710A" w:rsidRPr="00DF710A" w:rsidRDefault="00DF710A" w:rsidP="0062686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F710A">
              <w:rPr>
                <w:lang w:val="uk-UA"/>
              </w:rPr>
              <w:t>- Закону України «Про заходи щодо попередження та зменшення вживання тютюнових виробів і їх шкідливого впливу на здоров'я населення»;</w:t>
            </w:r>
          </w:p>
          <w:p w:rsidR="00DF710A" w:rsidRPr="00DF710A" w:rsidRDefault="00DF710A" w:rsidP="0062686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F710A">
              <w:rPr>
                <w:lang w:val="uk-UA"/>
              </w:rPr>
              <w:t>- Закону України «Про захист прав споживачів»;</w:t>
            </w:r>
          </w:p>
          <w:p w:rsidR="00DF710A" w:rsidRPr="00076592" w:rsidRDefault="00DF710A" w:rsidP="00626869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DF710A">
              <w:rPr>
                <w:lang w:val="uk-UA"/>
              </w:rPr>
              <w:t>- Закону України «Про звернення громадян»</w:t>
            </w:r>
          </w:p>
        </w:tc>
      </w:tr>
    </w:tbl>
    <w:p w:rsidR="00823A62" w:rsidRPr="008C0358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8C0358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37DAE"/>
    <w:rsid w:val="00283C85"/>
    <w:rsid w:val="002919DE"/>
    <w:rsid w:val="002A3825"/>
    <w:rsid w:val="002B68AD"/>
    <w:rsid w:val="002C5B28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F6B62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52831"/>
    <w:rsid w:val="00782340"/>
    <w:rsid w:val="007B04EB"/>
    <w:rsid w:val="007B0586"/>
    <w:rsid w:val="007C0A0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72838"/>
    <w:rsid w:val="00C85444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4EB68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45</cp:revision>
  <cp:lastPrinted>2020-01-10T12:44:00Z</cp:lastPrinted>
  <dcterms:created xsi:type="dcterms:W3CDTF">2019-10-30T14:01:00Z</dcterms:created>
  <dcterms:modified xsi:type="dcterms:W3CDTF">2021-03-19T12:20:00Z</dcterms:modified>
</cp:coreProperties>
</file>